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lk61xkroavzz" w:id="0"/>
      <w:bookmarkEnd w:id="0"/>
      <w:r w:rsidDel="00000000" w:rsidR="00000000" w:rsidRPr="00000000">
        <w:rPr>
          <w:b w:val="1"/>
          <w:bCs w:val="1"/>
          <w:sz w:val="46"/>
          <w:szCs w:val="46"/>
          <w:rtl w:val="0"/>
        </w:rPr>
        <w:t xml:space="preserve">İhracat Danışmanlığı - Stratejik Büyüme Planı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Hizmet Sözleşmesi (bundan böyle "Sözleşme" olarak anılacaktır), aşağıda bilgileri bulunan taraflar arasında, Danışman tarafından Müşteri’ye İhracat Danışmanlığı hizmeti verilmesi amacıyla, aşağıda belirtilen şartlar ve hükümler çerçevesinde imzalanmıştır.</w:t>
      </w:r>
    </w:p>
    <w:p w:rsidR="00000000" w:rsidDel="00000000" w:rsidP="00000000" w:rsidRDefault="00000000" w:rsidRPr="00000000" w14:paraId="00000003">
      <w:pPr>
        <w:pStyle w:val="Heading3"/>
        <w:keepNext w:val="0"/>
        <w:keepLines w:val="0"/>
        <w:spacing w:before="280" w:line="240" w:lineRule="auto"/>
        <w:rPr>
          <w:b w:val="1"/>
          <w:bCs w:val="1"/>
          <w:color w:val="000000"/>
          <w:sz w:val="26"/>
          <w:szCs w:val="26"/>
        </w:rPr>
      </w:pPr>
      <w:bookmarkStart w:colFirst="0" w:colLast="0" w:name="_36mzkpr4223j" w:id="1"/>
      <w:bookmarkEnd w:id="1"/>
      <w:r w:rsidDel="00000000" w:rsidR="00000000" w:rsidRPr="00000000">
        <w:rPr>
          <w:b w:val="1"/>
          <w:bCs w:val="1"/>
          <w:color w:val="000000"/>
          <w:sz w:val="26"/>
          <w:szCs w:val="26"/>
          <w:rtl w:val="0"/>
        </w:rPr>
        <w:t xml:space="preserve">TARAFLAR</w:t>
      </w:r>
    </w:p>
    <w:p w:rsidR="00000000" w:rsidDel="00000000" w:rsidP="00000000" w:rsidRDefault="00000000" w:rsidRPr="00000000" w14:paraId="00000004">
      <w:pPr>
        <w:numPr>
          <w:ilvl w:val="0"/>
          <w:numId w:val="1"/>
        </w:numPr>
        <w:spacing w:after="0" w:afterAutospacing="0" w:before="240" w:line="240" w:lineRule="auto"/>
        <w:ind w:left="720" w:hanging="360"/>
      </w:pPr>
      <w:r w:rsidDel="00000000" w:rsidR="00000000" w:rsidRPr="00000000">
        <w:rPr>
          <w:b w:val="1"/>
          <w:bCs w:val="1"/>
          <w:rtl w:val="0"/>
        </w:rPr>
        <w:t xml:space="preserve">Danışman:</w:t>
        <w:br w:type="textWrapping"/>
      </w:r>
    </w:p>
    <w:p w:rsidR="00000000" w:rsidDel="00000000" w:rsidP="00000000" w:rsidRDefault="00000000" w:rsidRPr="00000000" w14:paraId="00000005">
      <w:pPr>
        <w:numPr>
          <w:ilvl w:val="1"/>
          <w:numId w:val="1"/>
        </w:numPr>
        <w:spacing w:after="0" w:afterAutospacing="0" w:before="0" w:beforeAutospacing="0" w:line="240" w:lineRule="auto"/>
        <w:ind w:left="144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6">
      <w:pPr>
        <w:numPr>
          <w:ilvl w:val="1"/>
          <w:numId w:val="1"/>
        </w:numPr>
        <w:spacing w:after="0" w:afterAutospacing="0" w:before="0" w:beforeAutospacing="0" w:line="240" w:lineRule="auto"/>
        <w:ind w:left="144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7">
      <w:pPr>
        <w:numPr>
          <w:ilvl w:val="1"/>
          <w:numId w:val="1"/>
        </w:numPr>
        <w:spacing w:after="0" w:afterAutospacing="0" w:before="0" w:beforeAutospacing="0" w:line="240" w:lineRule="auto"/>
        <w:ind w:left="1440" w:hanging="360"/>
      </w:pPr>
      <w:r w:rsidDel="00000000" w:rsidR="00000000" w:rsidRPr="00000000">
        <w:rPr>
          <w:b w:val="1"/>
          <w:bCs w:val="1"/>
          <w:rtl w:val="0"/>
        </w:rPr>
        <w:t xml:space="preserve">Adresi:</w:t>
      </w:r>
      <w:r w:rsidDel="00000000" w:rsidR="00000000" w:rsidRPr="00000000">
        <w:rPr>
          <w:rtl w:val="0"/>
        </w:rPr>
        <w:t xml:space="preserve"> ...................... (Bundan böyle "Danışman" olarak anılacaktır.)</w:t>
      </w:r>
    </w:p>
    <w:p w:rsidR="00000000" w:rsidDel="00000000" w:rsidP="00000000" w:rsidRDefault="00000000" w:rsidRPr="00000000" w14:paraId="00000008">
      <w:pPr>
        <w:numPr>
          <w:ilvl w:val="0"/>
          <w:numId w:val="1"/>
        </w:numPr>
        <w:spacing w:after="0" w:afterAutospacing="0" w:before="0" w:beforeAutospacing="0" w:line="240" w:lineRule="auto"/>
        <w:ind w:left="720" w:hanging="360"/>
      </w:pPr>
      <w:r w:rsidDel="00000000" w:rsidR="00000000" w:rsidRPr="00000000">
        <w:rPr>
          <w:b w:val="1"/>
          <w:bCs w:val="1"/>
          <w:rtl w:val="0"/>
        </w:rPr>
        <w:t xml:space="preserve">Müşteri:</w:t>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A">
      <w:pPr>
        <w:numPr>
          <w:ilvl w:val="1"/>
          <w:numId w:val="1"/>
        </w:numPr>
        <w:spacing w:after="0" w:afterAutospacing="0" w:before="0" w:beforeAutospacing="0" w:line="240" w:lineRule="auto"/>
        <w:ind w:left="144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B">
      <w:pPr>
        <w:numPr>
          <w:ilvl w:val="1"/>
          <w:numId w:val="1"/>
        </w:numPr>
        <w:spacing w:after="240" w:before="0" w:beforeAutospacing="0" w:line="240" w:lineRule="auto"/>
        <w:ind w:left="1440" w:hanging="360"/>
      </w:pPr>
      <w:r w:rsidDel="00000000" w:rsidR="00000000" w:rsidRPr="00000000">
        <w:rPr>
          <w:b w:val="1"/>
          <w:bCs w:val="1"/>
          <w:rtl w:val="0"/>
        </w:rPr>
        <w:t xml:space="preserve">Adresi:</w:t>
      </w:r>
      <w:r w:rsidDel="00000000" w:rsidR="00000000" w:rsidRPr="00000000">
        <w:rPr>
          <w:rtl w:val="0"/>
        </w:rPr>
        <w:t xml:space="preserve"> ...................... (Bundan böyle "Müşteri" olarak anılacaktır.)</w:t>
      </w:r>
    </w:p>
    <w:p w:rsidR="00000000" w:rsidDel="00000000" w:rsidP="00000000" w:rsidRDefault="00000000" w:rsidRPr="00000000" w14:paraId="0000000C">
      <w:pPr>
        <w:spacing w:after="240" w:before="240" w:line="240" w:lineRule="auto"/>
        <w:rPr/>
      </w:pPr>
      <w:r w:rsidDel="00000000" w:rsidR="00000000" w:rsidRPr="00000000">
        <w:rPr>
          <w:b w:val="1"/>
          <w:bCs w:val="1"/>
          <w:rtl w:val="0"/>
        </w:rPr>
        <w:t xml:space="preserve">Sözleşme Tarihi:</w:t>
      </w:r>
      <w:r w:rsidDel="00000000" w:rsidR="00000000" w:rsidRPr="00000000">
        <w:rPr>
          <w:rtl w:val="0"/>
        </w:rPr>
        <w:t xml:space="preserve"> …………….</w:t>
      </w:r>
    </w:p>
    <w:p w:rsidR="00000000" w:rsidDel="00000000" w:rsidP="00000000" w:rsidRDefault="00000000" w:rsidRPr="00000000" w14:paraId="0000000D">
      <w:pPr>
        <w:pStyle w:val="Heading3"/>
        <w:keepNext w:val="0"/>
        <w:keepLines w:val="0"/>
        <w:spacing w:before="280" w:line="240" w:lineRule="auto"/>
        <w:rPr>
          <w:b w:val="1"/>
          <w:bCs w:val="1"/>
          <w:color w:val="000000"/>
          <w:sz w:val="26"/>
          <w:szCs w:val="26"/>
        </w:rPr>
      </w:pPr>
      <w:bookmarkStart w:colFirst="0" w:colLast="0" w:name="_o5b1734vhii3" w:id="2"/>
      <w:bookmarkEnd w:id="2"/>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E">
      <w:pPr>
        <w:spacing w:after="240" w:before="240" w:line="240" w:lineRule="auto"/>
        <w:rPr/>
      </w:pPr>
      <w:r w:rsidDel="00000000" w:rsidR="00000000" w:rsidRPr="00000000">
        <w:rPr>
          <w:rtl w:val="0"/>
        </w:rPr>
        <w:t xml:space="preserve">İşbu Sözleşme'nin konusu, Danışman tarafından, Müşteri’ye “İhracat Danışmanlığı - Stratejik Büyüme Planı Paketi” hizmetlerinin Türkiye Cumhuriyeti Borçlar Kanunu ve ilgili mevzuat hükümleri çerçevesinde ve aşağıda belirtilen kapsamda sunulmasıdır. Bu hizmetler, Müşteri’nin ihracat kapasitesinin artırılmasına, yeni pazarlara açılmasına ve stratejik büyüme hedeflerine ulaşmasına yönelik danışmanlık faaliyetlerini kapsar.</w:t>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2khc24dqhm58" w:id="3"/>
      <w:bookmarkEnd w:id="3"/>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10">
      <w:pPr>
        <w:spacing w:after="240" w:before="240" w:line="240" w:lineRule="auto"/>
        <w:rPr/>
      </w:pPr>
      <w:r w:rsidDel="00000000" w:rsidR="00000000" w:rsidRPr="00000000">
        <w:rPr>
          <w:rtl w:val="0"/>
        </w:rPr>
        <w:t xml:space="preserve">Danışman, işbu Sözleşme kapsamında Müşteri’ye, minimum 6 (altı) aylık çalışma modeli dahilinde aşağıdaki hizmetleri sunmayı taahhüt eder:</w:t>
      </w:r>
    </w:p>
    <w:p w:rsidR="00000000" w:rsidDel="00000000" w:rsidP="00000000" w:rsidRDefault="00000000" w:rsidRPr="00000000" w14:paraId="00000011">
      <w:pPr>
        <w:numPr>
          <w:ilvl w:val="0"/>
          <w:numId w:val="2"/>
        </w:numPr>
        <w:spacing w:after="0" w:afterAutospacing="0" w:before="240" w:line="240" w:lineRule="auto"/>
        <w:ind w:left="720" w:hanging="360"/>
      </w:pPr>
      <w:r w:rsidDel="00000000" w:rsidR="00000000" w:rsidRPr="00000000">
        <w:rPr>
          <w:rtl w:val="0"/>
        </w:rPr>
        <w:t xml:space="preserve">En Karlı Pazarların Bulunması</w:t>
      </w:r>
    </w:p>
    <w:p w:rsidR="00000000" w:rsidDel="00000000" w:rsidP="00000000" w:rsidRDefault="00000000" w:rsidRPr="00000000" w14:paraId="00000012">
      <w:pPr>
        <w:numPr>
          <w:ilvl w:val="0"/>
          <w:numId w:val="2"/>
        </w:numPr>
        <w:spacing w:after="0" w:afterAutospacing="0" w:before="0" w:beforeAutospacing="0" w:line="240" w:lineRule="auto"/>
        <w:ind w:left="720" w:hanging="360"/>
      </w:pPr>
      <w:r w:rsidDel="00000000" w:rsidR="00000000" w:rsidRPr="00000000">
        <w:rPr>
          <w:rtl w:val="0"/>
        </w:rPr>
        <w:t xml:space="preserve">Pazar ve Rekabet Analizi</w:t>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rtl w:val="0"/>
        </w:rPr>
        <w:t xml:space="preserve">Detaylı Rakip Raporu</w:t>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rtl w:val="0"/>
        </w:rPr>
        <w:t xml:space="preserve">Hedef Kitle ve Ürün Analizi</w:t>
      </w:r>
    </w:p>
    <w:p w:rsidR="00000000" w:rsidDel="00000000" w:rsidP="00000000" w:rsidRDefault="00000000" w:rsidRPr="00000000" w14:paraId="00000015">
      <w:pPr>
        <w:numPr>
          <w:ilvl w:val="0"/>
          <w:numId w:val="2"/>
        </w:numPr>
        <w:spacing w:after="0" w:afterAutospacing="0" w:before="0" w:beforeAutospacing="0" w:line="240" w:lineRule="auto"/>
        <w:ind w:left="720" w:hanging="360"/>
      </w:pPr>
      <w:r w:rsidDel="00000000" w:rsidR="00000000" w:rsidRPr="00000000">
        <w:rPr>
          <w:rtl w:val="0"/>
        </w:rPr>
        <w:t xml:space="preserve">Pazara Giriş Eylem Planı</w:t>
      </w:r>
    </w:p>
    <w:p w:rsidR="00000000" w:rsidDel="00000000" w:rsidP="00000000" w:rsidRDefault="00000000" w:rsidRPr="00000000" w14:paraId="00000016">
      <w:pPr>
        <w:numPr>
          <w:ilvl w:val="0"/>
          <w:numId w:val="2"/>
        </w:numPr>
        <w:spacing w:after="0" w:afterAutospacing="0" w:before="0" w:beforeAutospacing="0" w:line="240" w:lineRule="auto"/>
        <w:ind w:left="720" w:hanging="360"/>
      </w:pPr>
      <w:r w:rsidDel="00000000" w:rsidR="00000000" w:rsidRPr="00000000">
        <w:rPr>
          <w:rtl w:val="0"/>
        </w:rPr>
        <w:t xml:space="preserve">2000 Firmalık Potansiyel Müşteri Listesi Oluşturulması</w:t>
      </w:r>
    </w:p>
    <w:p w:rsidR="00000000" w:rsidDel="00000000" w:rsidP="00000000" w:rsidRDefault="00000000" w:rsidRPr="00000000" w14:paraId="00000017">
      <w:pPr>
        <w:numPr>
          <w:ilvl w:val="0"/>
          <w:numId w:val="2"/>
        </w:numPr>
        <w:spacing w:after="0" w:afterAutospacing="0" w:before="0" w:beforeAutospacing="0" w:line="240" w:lineRule="auto"/>
        <w:ind w:left="720" w:hanging="360"/>
      </w:pPr>
      <w:r w:rsidDel="00000000" w:rsidR="00000000" w:rsidRPr="00000000">
        <w:rPr>
          <w:rtl w:val="0"/>
        </w:rPr>
        <w:t xml:space="preserve">Sürekli Dijital Pazarlama Danışmanlığı</w:t>
      </w:r>
    </w:p>
    <w:p w:rsidR="00000000" w:rsidDel="00000000" w:rsidP="00000000" w:rsidRDefault="00000000" w:rsidRPr="00000000" w14:paraId="00000018">
      <w:pPr>
        <w:numPr>
          <w:ilvl w:val="0"/>
          <w:numId w:val="2"/>
        </w:numPr>
        <w:spacing w:after="0" w:afterAutospacing="0" w:before="0" w:beforeAutospacing="0" w:line="240" w:lineRule="auto"/>
        <w:ind w:left="720" w:hanging="360"/>
      </w:pPr>
      <w:r w:rsidDel="00000000" w:rsidR="00000000" w:rsidRPr="00000000">
        <w:rPr>
          <w:rtl w:val="0"/>
        </w:rPr>
        <w:t xml:space="preserve">Ücretsiz E-posta Pazarlama Sekansları Desteği</w:t>
      </w:r>
    </w:p>
    <w:p w:rsidR="00000000" w:rsidDel="00000000" w:rsidP="00000000" w:rsidRDefault="00000000" w:rsidRPr="00000000" w14:paraId="00000019">
      <w:pPr>
        <w:numPr>
          <w:ilvl w:val="0"/>
          <w:numId w:val="2"/>
        </w:numPr>
        <w:spacing w:after="0" w:afterAutospacing="0" w:before="0" w:beforeAutospacing="0" w:line="240" w:lineRule="auto"/>
        <w:ind w:left="720" w:hanging="360"/>
      </w:pPr>
      <w:r w:rsidDel="00000000" w:rsidR="00000000" w:rsidRPr="00000000">
        <w:rPr>
          <w:rtl w:val="0"/>
        </w:rPr>
        <w:t xml:space="preserve">E-İhracata Giriş Desteği</w:t>
      </w:r>
    </w:p>
    <w:p w:rsidR="00000000" w:rsidDel="00000000" w:rsidP="00000000" w:rsidRDefault="00000000" w:rsidRPr="00000000" w14:paraId="0000001A">
      <w:pPr>
        <w:numPr>
          <w:ilvl w:val="0"/>
          <w:numId w:val="2"/>
        </w:numPr>
        <w:spacing w:after="240" w:before="0" w:beforeAutospacing="0" w:line="240" w:lineRule="auto"/>
        <w:ind w:left="720" w:hanging="360"/>
      </w:pPr>
      <w:r w:rsidDel="00000000" w:rsidR="00000000" w:rsidRPr="00000000">
        <w:rPr>
          <w:rtl w:val="0"/>
        </w:rPr>
        <w:t xml:space="preserve">Haftalık Takip ve Geri Bildirim</w:t>
      </w:r>
    </w:p>
    <w:p w:rsidR="00000000" w:rsidDel="00000000" w:rsidP="00000000" w:rsidRDefault="00000000" w:rsidRPr="00000000" w14:paraId="0000001B">
      <w:pPr>
        <w:pStyle w:val="Heading3"/>
        <w:keepNext w:val="0"/>
        <w:keepLines w:val="0"/>
        <w:spacing w:before="280" w:line="240" w:lineRule="auto"/>
        <w:rPr>
          <w:b w:val="1"/>
          <w:bCs w:val="1"/>
          <w:color w:val="000000"/>
          <w:sz w:val="26"/>
          <w:szCs w:val="26"/>
        </w:rPr>
      </w:pPr>
      <w:bookmarkStart w:colFirst="0" w:colLast="0" w:name="_rporyulu21n9" w:id="4"/>
      <w:bookmarkEnd w:id="4"/>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C">
      <w:pPr>
        <w:spacing w:after="240" w:before="240" w:line="240" w:lineRule="auto"/>
        <w:rPr/>
      </w:pPr>
      <w:r w:rsidDel="00000000" w:rsidR="00000000" w:rsidRPr="00000000">
        <w:rPr>
          <w:b w:val="1"/>
          <w:bCs w:val="1"/>
          <w:rtl w:val="0"/>
        </w:rPr>
        <w:t xml:space="preserve">3.1. Danışman'ın Yükümlülükleri:</w:t>
        <w:br w:type="textWrapping"/>
      </w:r>
      <w:r w:rsidDel="00000000" w:rsidR="00000000" w:rsidRPr="00000000">
        <w:rPr>
          <w:rtl w:val="0"/>
        </w:rPr>
        <w:t xml:space="preserve">a. Danışman, Sözleşme konusu hizmetleri, kendi mesleki bilgi, tecrübe ve yetenekleri doğrultusunda, özen ve sadakat yükümlülüğüne uygun olarak ifa edecektir.</w:t>
        <w:br w:type="textWrapping"/>
        <w:t xml:space="preserve">b. Danışman, hizmetleri yürütürken Müşteri’nin menfaatlerini gözetmekle ve sır saklama yükümlülüğüne uymakla yükümlüdür.</w:t>
        <w:br w:type="textWrapping"/>
        <w:t xml:space="preserve">c. Danışman, sunulan hizmetler kapsamında düzenli olarak Müşteri’ye bilgi ve raporlama sağlayacaktır.</w:t>
        <w:br w:type="textWrapping"/>
        <w:t xml:space="preserve">d. Danışman, hizmetlerin ifası sırasında elde ettiği her türlü bilgi ve belgeyi gizli tutmayı ve bu bilgileri Sözleşme amacı dışında kullanmamayı taahhüt eder.</w:t>
      </w:r>
    </w:p>
    <w:p w:rsidR="00000000" w:rsidDel="00000000" w:rsidP="00000000" w:rsidRDefault="00000000" w:rsidRPr="00000000" w14:paraId="0000001D">
      <w:pPr>
        <w:spacing w:after="240" w:before="240" w:line="240" w:lineRule="auto"/>
        <w:rPr/>
      </w:pPr>
      <w:r w:rsidDel="00000000" w:rsidR="00000000" w:rsidRPr="00000000">
        <w:rPr>
          <w:b w:val="1"/>
          <w:bCs w:val="1"/>
          <w:rtl w:val="0"/>
        </w:rPr>
        <w:t xml:space="preserve">3.2. Müşteri'nin Yükümlülükleri:</w:t>
        <w:br w:type="textWrapping"/>
      </w:r>
      <w:r w:rsidDel="00000000" w:rsidR="00000000" w:rsidRPr="00000000">
        <w:rPr>
          <w:rtl w:val="0"/>
        </w:rPr>
        <w:t xml:space="preserve">a. Müşteri, Danışman’ın talep edeceği, hizmetin ifası için gerekli her türlü bilgi, belge ve desteği tam ve zamanında sağlamakla yükümlüdür.</w:t>
        <w:br w:type="textWrapping"/>
        <w:t xml:space="preserve">b. Müşteri, Danışman’ın hizmetlerini gereği gibi yerine getirebilmesi için gerekli çalışma ortamını ve işbirliğini sağlayacaktır.</w:t>
        <w:br w:type="textWrapping"/>
        <w:t xml:space="preserve">c. Müşteri, işbu Sözleşme'de belirtilen ücreti, ödeme koşullarına uygun olarak zamanında ödemeyi taahhüt eder.</w:t>
        <w:br w:type="textWrapping"/>
        <w:t xml:space="preserve">d. Müşteri, Danışman tarafından hazırlanan rapor, analiz ve stratejilerin uygulanmasından doğacak sonuçlardan bizzat sorumludur.</w:t>
      </w:r>
    </w:p>
    <w:p w:rsidR="00000000" w:rsidDel="00000000" w:rsidP="00000000" w:rsidRDefault="00000000" w:rsidRPr="00000000" w14:paraId="0000001E">
      <w:pPr>
        <w:pStyle w:val="Heading3"/>
        <w:keepNext w:val="0"/>
        <w:keepLines w:val="0"/>
        <w:spacing w:before="280" w:line="240" w:lineRule="auto"/>
        <w:rPr>
          <w:b w:val="1"/>
          <w:bCs w:val="1"/>
          <w:color w:val="000000"/>
          <w:sz w:val="26"/>
          <w:szCs w:val="26"/>
        </w:rPr>
      </w:pPr>
      <w:bookmarkStart w:colFirst="0" w:colLast="0" w:name="_r0llxn3rj80d" w:id="5"/>
      <w:bookmarkEnd w:id="5"/>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F">
      <w:pPr>
        <w:spacing w:after="240" w:before="240" w:line="240" w:lineRule="auto"/>
        <w:rPr/>
      </w:pPr>
      <w:r w:rsidDel="00000000" w:rsidR="00000000" w:rsidRPr="00000000">
        <w:rPr>
          <w:rtl w:val="0"/>
        </w:rPr>
        <w:t xml:space="preserve">İşbu Sözleşme, ...................... tarihinde başlayacak ve ...................... tarihinde kendiliğinden sona erecektir. Taraflar, Sözleşme süresinin sona ermesinden en az 1 (bir) ay önce yazılı olarak mutabık kalmaları halinde, Sözleşme süresini karşılıklı anlaştıkları koşullarda uzatabilirler.</w:t>
      </w:r>
    </w:p>
    <w:p w:rsidR="00000000" w:rsidDel="00000000" w:rsidP="00000000" w:rsidRDefault="00000000" w:rsidRPr="00000000" w14:paraId="00000020">
      <w:pPr>
        <w:pStyle w:val="Heading3"/>
        <w:keepNext w:val="0"/>
        <w:keepLines w:val="0"/>
        <w:spacing w:before="280" w:line="240" w:lineRule="auto"/>
        <w:rPr>
          <w:b w:val="1"/>
          <w:bCs w:val="1"/>
          <w:color w:val="000000"/>
          <w:sz w:val="26"/>
          <w:szCs w:val="26"/>
        </w:rPr>
      </w:pPr>
      <w:bookmarkStart w:colFirst="0" w:colLast="0" w:name="_fm1s3ebj4gfl" w:id="6"/>
      <w:bookmarkEnd w:id="6"/>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1">
      <w:pPr>
        <w:spacing w:after="240" w:before="240" w:line="240" w:lineRule="auto"/>
        <w:rPr/>
      </w:pPr>
      <w:r w:rsidDel="00000000" w:rsidR="00000000" w:rsidRPr="00000000">
        <w:rPr>
          <w:b w:val="1"/>
          <w:bCs w:val="1"/>
          <w:rtl w:val="0"/>
        </w:rPr>
        <w:t xml:space="preserve">5.1. Aylık Danışmanlık Ücreti:</w:t>
        <w:br w:type="textWrapping"/>
      </w:r>
      <w:r w:rsidDel="00000000" w:rsidR="00000000" w:rsidRPr="00000000">
        <w:rPr>
          <w:rtl w:val="0"/>
        </w:rPr>
        <w:t xml:space="preserve">Müşteri, işbu Sözleşme kapsamında Danışman’a sunulan hizmetler karşılığında aylık ...................... TL (...................... Türk Lirası) danışmanlık ücreti ödeyecektir.</w:t>
      </w:r>
    </w:p>
    <w:p w:rsidR="00000000" w:rsidDel="00000000" w:rsidP="00000000" w:rsidRDefault="00000000" w:rsidRPr="00000000" w14:paraId="00000022">
      <w:pPr>
        <w:spacing w:after="240" w:before="240" w:line="240" w:lineRule="auto"/>
        <w:rPr/>
      </w:pPr>
      <w:r w:rsidDel="00000000" w:rsidR="00000000" w:rsidRPr="00000000">
        <w:rPr>
          <w:b w:val="1"/>
          <w:bCs w:val="1"/>
          <w:rtl w:val="0"/>
        </w:rPr>
        <w:t xml:space="preserve">5.2. KDV Durumu:</w:t>
        <w:br w:type="textWrapping"/>
      </w:r>
      <w:r w:rsidDel="00000000" w:rsidR="00000000" w:rsidRPr="00000000">
        <w:rPr>
          <w:rtl w:val="0"/>
        </w:rPr>
        <w:t xml:space="preserve">Belirtilen ücrete KDV hariç olup, yürürlükteki mevzuat uyarınca hesaplanarak fatura edilecektir.</w:t>
      </w:r>
    </w:p>
    <w:p w:rsidR="00000000" w:rsidDel="00000000" w:rsidP="00000000" w:rsidRDefault="00000000" w:rsidRPr="00000000" w14:paraId="00000023">
      <w:pPr>
        <w:spacing w:after="240" w:before="240" w:line="240" w:lineRule="auto"/>
        <w:rPr/>
      </w:pPr>
      <w:r w:rsidDel="00000000" w:rsidR="00000000" w:rsidRPr="00000000">
        <w:rPr>
          <w:b w:val="1"/>
          <w:bCs w:val="1"/>
          <w:rtl w:val="0"/>
        </w:rPr>
        <w:t xml:space="preserve">5.3. Ödeme Şekli ve Şartları:</w:t>
        <w:br w:type="textWrapping"/>
      </w:r>
      <w:r w:rsidDel="00000000" w:rsidR="00000000" w:rsidRPr="00000000">
        <w:rPr>
          <w:rtl w:val="0"/>
        </w:rPr>
        <w:t xml:space="preserve">Ödeme, hizmet süresince aylık olarak, ilgili ayın ilk 5 (beş) iş günü içerisinde Danışman tarafından yazılı olarak belirtilen banka hesabına havale/EFT yoluyla yapılacaktır. Danışman, her ödeme karşılığında Müşteri’ye fatura kesmekle yükümlüdür. Ödemelerin gecikmesi durumunda, Müşteri, T.C. Merkez Bankası'nın avans faiz oranında gecikme faizi ödemeyi kabul eder.</w:t>
      </w:r>
    </w:p>
    <w:p w:rsidR="00000000" w:rsidDel="00000000" w:rsidP="00000000" w:rsidRDefault="00000000" w:rsidRPr="00000000" w14:paraId="00000024">
      <w:pPr>
        <w:pStyle w:val="Heading3"/>
        <w:keepNext w:val="0"/>
        <w:keepLines w:val="0"/>
        <w:spacing w:before="280" w:line="240" w:lineRule="auto"/>
        <w:rPr>
          <w:b w:val="1"/>
          <w:bCs w:val="1"/>
          <w:color w:val="000000"/>
          <w:sz w:val="26"/>
          <w:szCs w:val="26"/>
        </w:rPr>
      </w:pPr>
      <w:bookmarkStart w:colFirst="0" w:colLast="0" w:name="_2uc2joafhts5" w:id="7"/>
      <w:bookmarkEnd w:id="7"/>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5">
      <w:pPr>
        <w:spacing w:after="240" w:before="240" w:line="240" w:lineRule="auto"/>
        <w:rPr/>
      </w:pPr>
      <w:r w:rsidDel="00000000" w:rsidR="00000000" w:rsidRPr="00000000">
        <w:rPr>
          <w:rtl w:val="0"/>
        </w:rPr>
        <w:t xml:space="preserve">Taraflar, işbu Sözleşme'nin ifası sırasında veya öncesinde birbirleri hakkında öğrendikleri, ticari sır niteliğindeki her türlü bilgi ve belgeyi, fiyatlandırma, stratejiler, müşteri listeleri, finansal veriler, teknik bilgi ve know-how dahil ancak bunlarla sınırlı olmamak üzere, Sözleşme süresince ve Sözleşme'nin sona ermesinden sonra da 5 (beş) yıl boyunca mutlak surette gizli tutmayı, üçüncü kişilerle paylaşmamayı, Sözleşme amacı dışında kullanmamayı ve bu bilgilerin yetkisiz kişilerce ele geçirilmesini önlemek için gerekli tüm tedbirleri almayı kabul ve taahhüt ederler. Gizlilik yükümlülüğü, kanuni bir zorunluluk halinde veya yetkili mercilerin talebi üzerine bilgi verilmesi durumunda ihlal edilmiş sayılmaz.</w:t>
      </w:r>
    </w:p>
    <w:p w:rsidR="00000000" w:rsidDel="00000000" w:rsidP="00000000" w:rsidRDefault="00000000" w:rsidRPr="00000000" w14:paraId="00000026">
      <w:pPr>
        <w:pStyle w:val="Heading3"/>
        <w:keepNext w:val="0"/>
        <w:keepLines w:val="0"/>
        <w:spacing w:before="280" w:line="240" w:lineRule="auto"/>
        <w:rPr>
          <w:b w:val="1"/>
          <w:bCs w:val="1"/>
          <w:color w:val="000000"/>
          <w:sz w:val="26"/>
          <w:szCs w:val="26"/>
        </w:rPr>
      </w:pPr>
      <w:bookmarkStart w:colFirst="0" w:colLast="0" w:name="_bdk89tpb9biv" w:id="8"/>
      <w:bookmarkEnd w:id="8"/>
      <w:r w:rsidDel="00000000" w:rsidR="00000000" w:rsidRPr="00000000">
        <w:rPr>
          <w:rtl w:val="0"/>
        </w:rPr>
      </w:r>
    </w:p>
    <w:p w:rsidR="00000000" w:rsidDel="00000000" w:rsidP="00000000" w:rsidRDefault="00000000" w:rsidRPr="00000000" w14:paraId="00000027">
      <w:pPr>
        <w:pStyle w:val="Heading3"/>
        <w:keepNext w:val="0"/>
        <w:keepLines w:val="0"/>
        <w:spacing w:before="280" w:line="240" w:lineRule="auto"/>
        <w:rPr>
          <w:b w:val="1"/>
          <w:bCs w:val="1"/>
          <w:color w:val="000000"/>
          <w:sz w:val="26"/>
          <w:szCs w:val="26"/>
        </w:rPr>
      </w:pPr>
      <w:bookmarkStart w:colFirst="0" w:colLast="0" w:name="_6oul6k5pfnfa" w:id="9"/>
      <w:bookmarkEnd w:id="9"/>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8">
      <w:pPr>
        <w:spacing w:after="240" w:before="240" w:line="240" w:lineRule="auto"/>
        <w:rPr/>
      </w:pPr>
      <w:r w:rsidDel="00000000" w:rsidR="00000000" w:rsidRPr="00000000">
        <w:rPr>
          <w:b w:val="1"/>
          <w:bCs w:val="1"/>
          <w:rtl w:val="0"/>
        </w:rPr>
        <w:t xml:space="preserve">7.1. Haklı Nedenle Fesih:</w:t>
        <w:br w:type="textWrapping"/>
      </w:r>
      <w:r w:rsidDel="00000000" w:rsidR="00000000" w:rsidRPr="00000000">
        <w:rPr>
          <w:rtl w:val="0"/>
        </w:rPr>
        <w:t xml:space="preserve">Taraflardan herhangi biri, diğer tarafın işbu Sözleşme'den kaynaklanan temel yükümlülüklerini ihlal etmesi ve bu ihlalin diğer tarafça yazılı olarak bildirildikten sonra 15 (on beş) gün içinde giderilmemesi durumunda, Sözleşme'yi tek taraflı olarak derhal ve tazminatsız feshedebilir. Müşteri’nin ödeme yükümlülüğünü süresi içinde yerine getirmemesi veya Danışman’ın hizmetleri ifada ağır kusurlu davranması haklı fesih nedenleri arasındadır.</w:t>
      </w:r>
    </w:p>
    <w:p w:rsidR="00000000" w:rsidDel="00000000" w:rsidP="00000000" w:rsidRDefault="00000000" w:rsidRPr="00000000" w14:paraId="00000029">
      <w:pPr>
        <w:spacing w:after="240" w:before="240" w:line="240" w:lineRule="auto"/>
        <w:rPr/>
      </w:pPr>
      <w:r w:rsidDel="00000000" w:rsidR="00000000" w:rsidRPr="00000000">
        <w:rPr>
          <w:b w:val="1"/>
          <w:bCs w:val="1"/>
          <w:rtl w:val="0"/>
        </w:rPr>
        <w:t xml:space="preserve">7.2. Feshin Sonuçları:</w:t>
        <w:br w:type="textWrapping"/>
      </w:r>
      <w:r w:rsidDel="00000000" w:rsidR="00000000" w:rsidRPr="00000000">
        <w:rPr>
          <w:rtl w:val="0"/>
        </w:rPr>
        <w:t xml:space="preserve">Sözleşme'nin feshi halinde, fesih tarihine kadar ifa edilmiş hizmetler için hak edilen ücretler Müşteri tarafından ödenecektir. Taraflar, fesih nedeniyle oluşan zararlarının tazminini genel hükümler çerçevesinde talep etme hakkına sahiptir.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28i0gq4v3x9a" w:id="10"/>
      <w:bookmarkEnd w:id="10"/>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B">
      <w:pPr>
        <w:spacing w:after="240" w:before="240" w:line="240" w:lineRule="auto"/>
        <w:rPr/>
      </w:pPr>
      <w:r w:rsidDel="00000000" w:rsidR="00000000" w:rsidRPr="00000000">
        <w:rPr>
          <w:rtl w:val="0"/>
        </w:rPr>
        <w:t xml:space="preserve">İşbu Sözleşme'den doğan veya Sözleşme ile ilgili tüm uyuşmazlıkların çözümünde Ankara Mahkemeleri ve İcra Daireleri yetkilidir. Taraflar, uyuşmazlıkların çözümünden önce dostane yollarla anlaşmaya çalışmayı kabul ederler.</w:t>
      </w:r>
    </w:p>
    <w:p w:rsidR="00000000" w:rsidDel="00000000" w:rsidP="00000000" w:rsidRDefault="00000000" w:rsidRPr="00000000" w14:paraId="0000002C">
      <w:pPr>
        <w:pStyle w:val="Heading3"/>
        <w:keepNext w:val="0"/>
        <w:keepLines w:val="0"/>
        <w:spacing w:before="280" w:line="240" w:lineRule="auto"/>
        <w:rPr>
          <w:b w:val="1"/>
          <w:bCs w:val="1"/>
          <w:color w:val="000000"/>
          <w:sz w:val="26"/>
          <w:szCs w:val="26"/>
        </w:rPr>
      </w:pPr>
      <w:bookmarkStart w:colFirst="0" w:colLast="0" w:name="_m2vnunaki514" w:id="11"/>
      <w:bookmarkEnd w:id="11"/>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D">
      <w:pPr>
        <w:spacing w:after="240" w:before="240" w:line="240" w:lineRule="auto"/>
        <w:rPr/>
      </w:pPr>
      <w:r w:rsidDel="00000000" w:rsidR="00000000" w:rsidRPr="00000000">
        <w:rPr>
          <w:rtl w:val="0"/>
        </w:rPr>
        <w:t xml:space="preserve">Tarafların yukarıda belirtilen adresleri, kanuni tebligat adresleri olup, bu adreslere yapılacak tüm tebligatlar geçerli sayılacaktır. Adres değişikliği, değişikliğin meydana geldiği tarihten itibaren 7 (yedi) gün içinde diğer tarafa noter aracılığıyla veya iadeli taahhütlü mektupla yazılı olarak bildirilmediği takdirde, eski adrese yapılan tebligatlar geçerli kabul edilecektir.</w:t>
      </w:r>
    </w:p>
    <w:p w:rsidR="00000000" w:rsidDel="00000000" w:rsidP="00000000" w:rsidRDefault="00000000" w:rsidRPr="00000000" w14:paraId="0000002E">
      <w:pPr>
        <w:pStyle w:val="Heading3"/>
        <w:keepNext w:val="0"/>
        <w:keepLines w:val="0"/>
        <w:spacing w:before="280" w:line="240" w:lineRule="auto"/>
        <w:rPr>
          <w:b w:val="1"/>
          <w:bCs w:val="1"/>
          <w:color w:val="000000"/>
          <w:sz w:val="26"/>
          <w:szCs w:val="26"/>
        </w:rPr>
      </w:pPr>
      <w:bookmarkStart w:colFirst="0" w:colLast="0" w:name="_q9kqf1exy93y" w:id="12"/>
      <w:bookmarkEnd w:id="12"/>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F">
      <w:pPr>
        <w:numPr>
          <w:ilvl w:val="0"/>
          <w:numId w:val="3"/>
        </w:numPr>
        <w:spacing w:after="0" w:afterAutospacing="0" w:before="240" w:line="240" w:lineRule="auto"/>
        <w:ind w:left="720" w:hanging="360"/>
      </w:pPr>
      <w:r w:rsidDel="00000000" w:rsidR="00000000" w:rsidRPr="00000000">
        <w:rPr>
          <w:rtl w:val="0"/>
        </w:rPr>
        <w:t xml:space="preserve">İşbu Sözleşme, Taraflarca okunmuş, anlaşılmış ve kabul edilerek imza altına alınmıştır.</w:t>
      </w:r>
    </w:p>
    <w:p w:rsidR="00000000" w:rsidDel="00000000" w:rsidP="00000000" w:rsidRDefault="00000000" w:rsidRPr="00000000" w14:paraId="00000030">
      <w:pPr>
        <w:numPr>
          <w:ilvl w:val="0"/>
          <w:numId w:val="3"/>
        </w:numPr>
        <w:spacing w:after="0" w:afterAutospacing="0" w:before="0" w:beforeAutospacing="0" w:line="240" w:lineRule="auto"/>
        <w:ind w:left="720" w:hanging="360"/>
      </w:pPr>
      <w:r w:rsidDel="00000000" w:rsidR="00000000" w:rsidRPr="00000000">
        <w:rPr>
          <w:rtl w:val="0"/>
        </w:rPr>
        <w:t xml:space="preserve">İşbu Sözleşme, 10 (on) maddeden ibaret olup, 2 (iki) asıl nüsha olarak tanzim edilmiş ve 18.11.2025 tarihinde Taraflarca aynı anda imzalanarak yürürlüğe girmiştir. Birer nüshası Taraflara teslim edilmiştir.</w:t>
      </w:r>
    </w:p>
    <w:p w:rsidR="00000000" w:rsidDel="00000000" w:rsidP="00000000" w:rsidRDefault="00000000" w:rsidRPr="00000000" w14:paraId="00000031">
      <w:pPr>
        <w:numPr>
          <w:ilvl w:val="0"/>
          <w:numId w:val="3"/>
        </w:numPr>
        <w:spacing w:after="0" w:afterAutospacing="0" w:before="0" w:beforeAutospacing="0" w:line="240" w:lineRule="auto"/>
        <w:ind w:left="720" w:hanging="360"/>
      </w:pPr>
      <w:r w:rsidDel="00000000" w:rsidR="00000000" w:rsidRPr="00000000">
        <w:rPr>
          <w:rtl w:val="0"/>
        </w:rPr>
        <w:t xml:space="preserve">İşbu Sözleşme'de hüküm bulunmayan hallerde Türk Borçlar Kanunu ve ilgili Türk mevzuatı hükümleri uygulanır.</w:t>
      </w:r>
    </w:p>
    <w:p w:rsidR="00000000" w:rsidDel="00000000" w:rsidP="00000000" w:rsidRDefault="00000000" w:rsidRPr="00000000" w14:paraId="00000032">
      <w:pPr>
        <w:numPr>
          <w:ilvl w:val="0"/>
          <w:numId w:val="3"/>
        </w:numPr>
        <w:spacing w:after="240" w:before="0" w:beforeAutospacing="0" w:line="240" w:lineRule="auto"/>
        <w:ind w:left="720" w:hanging="360"/>
      </w:pPr>
      <w:r w:rsidDel="00000000" w:rsidR="00000000" w:rsidRPr="00000000">
        <w:rPr>
          <w:rtl w:val="0"/>
        </w:rPr>
        <w:t xml:space="preserve">İşbu Sözleşme'de yapılacak değişiklikler, ancak Tarafların karşılıklı ve yazılı mutabakatı ile geçerli olacaktır.</w:t>
      </w:r>
    </w:p>
    <w:p w:rsidR="00000000" w:rsidDel="00000000" w:rsidP="00000000" w:rsidRDefault="00000000" w:rsidRPr="00000000" w14:paraId="00000033">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4">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5">
            <w:pPr>
              <w:spacing w:line="240" w:lineRule="auto"/>
              <w:rPr>
                <w:b w:val="1"/>
                <w:bCs w:val="1"/>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7">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8">
            <w:pPr>
              <w:spacing w:line="240" w:lineRule="auto"/>
              <w:rPr>
                <w:b w:val="1"/>
                <w:bCs w:val="1"/>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A">
      <w:pPr>
        <w:spacing w:after="240" w:before="240" w:line="240" w:lineRule="auto"/>
        <w:rPr/>
      </w:pPr>
      <w:r w:rsidDel="00000000" w:rsidR="00000000" w:rsidRPr="00000000">
        <w:rPr>
          <w:rtl w:val="0"/>
        </w:rPr>
      </w:r>
    </w:p>
    <w:sectPr>
      <w:pgSz w:h="16838" w:w="11906" w:orient="portrait"/>
      <w:pgMar w:bottom="1440.0000000000002"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